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#9</w:t>
      </w:r>
      <w:r>
        <w:rPr>
          <w:rFonts w:hint="eastAsia" w:ascii="Arial" w:hAnsi="Arial" w:eastAsia="宋体" w:cs="Arial"/>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RP-220596</w:t>
      </w:r>
    </w:p>
    <w:p>
      <w:pPr>
        <w:tabs>
          <w:tab w:val="left" w:pos="567"/>
        </w:tabs>
        <w:rPr>
          <w:rFonts w:ascii="Arial" w:hAnsi="Arial" w:cs="Arial"/>
          <w:b/>
          <w:sz w:val="24"/>
        </w:rPr>
      </w:pPr>
      <w:r>
        <w:rPr>
          <w:rFonts w:hint="eastAsia" w:ascii="Arial" w:hAnsi="Arial" w:cs="Arial"/>
          <w:b/>
          <w:sz w:val="24"/>
        </w:rPr>
        <w:t>Electronic Meeting, March 17- 23, 2022</w:t>
      </w:r>
      <w:r>
        <w:rPr>
          <w:rFonts w:hint="eastAsia" w:ascii="Arial" w:hAnsi="Arial" w:cs="Arial"/>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auto"/>
          <w:lang w:eastAsia="ja-JP"/>
        </w:rPr>
        <w:t>9.2.6</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default" w:ascii="Arial" w:hAnsi="Arial" w:cs="Arial"/>
                <w:sz w:val="20"/>
                <w:szCs w:val="20"/>
              </w:rPr>
              <w:t>Study on low-power Wake-up Signal and Receiver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shd w:val="clear" w:color="auto" w:fill="auto"/>
          </w:tcPr>
          <w:p>
            <w:pPr>
              <w:keepNext w:val="0"/>
              <w:keepLines w:val="0"/>
              <w:widowControl/>
              <w:suppressLineNumbers w:val="0"/>
              <w:tabs>
                <w:tab w:val="left" w:pos="567"/>
              </w:tabs>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rPr>
              <w:t>Study Item:</w:t>
            </w:r>
            <w:r>
              <w:rPr>
                <w:rFonts w:hint="eastAsia" w:ascii="Arial" w:hAnsi="Arial" w:cs="Arial"/>
                <w:color w:val="auto"/>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eastAsia" w:ascii="Arial" w:hAnsi="Arial" w:cs="Arial"/>
                <w:color w:val="auto"/>
                <w:sz w:val="20"/>
                <w:szCs w:val="20"/>
                <w:lang w:eastAsia="ja-JP"/>
              </w:rPr>
              <w:t>Yes</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rPr>
              <w:t>Core part:</w:t>
            </w:r>
            <w:r>
              <w:rPr>
                <w:rFonts w:hint="default" w:ascii="Arial" w:hAnsi="Arial" w:cs="Arial"/>
                <w:color w:val="auto"/>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No</w:t>
            </w:r>
          </w:p>
        </w:tc>
        <w:tc>
          <w:tcPr>
            <w:tcW w:w="2309"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default" w:ascii="Arial" w:hAnsi="Arial" w:cs="Arial"/>
                <w:color w:val="auto"/>
                <w:sz w:val="20"/>
                <w:szCs w:val="20"/>
              </w:rPr>
              <w:t>Performance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No</w:t>
            </w:r>
          </w:p>
        </w:tc>
        <w:tc>
          <w:tcPr>
            <w:tcW w:w="1653"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rPr>
            </w:pPr>
            <w:r>
              <w:rPr>
                <w:rFonts w:hint="default" w:ascii="Arial" w:hAnsi="Arial" w:cs="Arial"/>
                <w:color w:val="auto"/>
                <w:sz w:val="20"/>
                <w:szCs w:val="20"/>
              </w:rPr>
              <w:t>Testing part:</w:t>
            </w:r>
          </w:p>
          <w:p>
            <w:pPr>
              <w:keepNext w:val="0"/>
              <w:keepLines w:val="0"/>
              <w:widowControl/>
              <w:suppressLineNumbers w:val="0"/>
              <w:tabs>
                <w:tab w:val="left" w:pos="567"/>
              </w:tabs>
              <w:spacing w:before="0" w:beforeAutospacing="0" w:after="0" w:afterAutospacing="0"/>
              <w:ind w:left="0" w:right="0"/>
              <w:rPr>
                <w:rFonts w:hint="default" w:ascii="Arial" w:hAnsi="Arial" w:cs="Arial"/>
                <w:color w:val="auto"/>
                <w:sz w:val="20"/>
                <w:szCs w:val="20"/>
                <w:lang w:eastAsia="ja-JP"/>
              </w:rPr>
            </w:pPr>
            <w:r>
              <w:rPr>
                <w:rFonts w:hint="eastAsia" w:ascii="Arial" w:hAnsi="Arial" w:cs="Arial"/>
                <w:color w:val="auto"/>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rPr>
            </w:pPr>
            <w:r>
              <w:rPr>
                <w:rFonts w:hint="eastAsia" w:ascii="Arial" w:hAnsi="Arial" w:cs="Arial"/>
                <w:sz w:val="20"/>
                <w:szCs w:val="20"/>
              </w:rPr>
              <w:t>FS_NR_LPWUS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940085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RP-213645</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color w:val="auto"/>
                <w:sz w:val="20"/>
                <w:szCs w:val="20"/>
                <w:lang w:val="en-US" w:eastAsia="zh-CN"/>
              </w:rPr>
              <w:t>12</w:t>
            </w:r>
            <w:r>
              <w:rPr>
                <w:rFonts w:hint="default" w:ascii="Arial" w:hAnsi="Arial" w:cs="Arial"/>
                <w:color w:val="auto"/>
                <w:sz w:val="20"/>
                <w:szCs w:val="20"/>
                <w:lang w:eastAsia="ja-JP"/>
              </w:rPr>
              <w:t>/</w:t>
            </w:r>
            <w:r>
              <w:rPr>
                <w:rFonts w:hint="eastAsia" w:ascii="Arial" w:hAnsi="Arial" w:eastAsia="宋体" w:cs="Arial"/>
                <w:color w:val="auto"/>
                <w:sz w:val="20"/>
                <w:szCs w:val="20"/>
                <w:lang w:val="en-US" w:eastAsia="zh-CN"/>
              </w:rPr>
              <w:t>2023</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val="0"/>
              <w:keepLines w:val="0"/>
              <w:widowControl/>
              <w:suppressLineNumbers w:val="0"/>
              <w:tabs>
                <w:tab w:val="left" w:pos="567"/>
              </w:tabs>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eastAsia="Times New Roman" w:cs="Arial"/>
                <w:color w:val="00B050"/>
                <w:kern w:val="2"/>
                <w:sz w:val="21"/>
                <w:szCs w:val="22"/>
                <w:lang w:val="en-US" w:eastAsia="zh-CN" w:bidi="ar-SA"/>
              </w:rPr>
              <w:t xml:space="preserve">0 </w:t>
            </w:r>
            <w:r>
              <w:rPr>
                <w:rFonts w:hint="eastAsia" w:ascii="Arial" w:hAnsi="Arial" w:eastAsia="Times New Roman" w:cs="Arial"/>
                <w:color w:val="00B050"/>
                <w:kern w:val="2"/>
                <w:sz w:val="21"/>
                <w:szCs w:val="22"/>
                <w:lang w:val="en-US" w:eastAsia="ja-JP" w:bidi="ar-SA"/>
              </w:rPr>
              <w:t>%</w:t>
            </w:r>
          </w:p>
        </w:tc>
        <w:tc>
          <w:tcPr>
            <w:tcW w:w="1842"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2268"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p>
        </w:tc>
        <w:tc>
          <w:tcPr>
            <w:tcW w:w="1694"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highlight w:val="yellow"/>
                <w:lang w:eastAsia="ja-JP"/>
              </w:rPr>
            </w:pP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51" w:type="dxa"/>
            <w:gridSpan w:val="2"/>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color w:val="FF0000"/>
                <w:sz w:val="20"/>
                <w:szCs w:val="20"/>
                <w:lang w:val="en-US" w:eastAsia="zh-CN"/>
              </w:rPr>
            </w:pPr>
            <w:r>
              <w:rPr>
                <w:rFonts w:hint="eastAsia" w:ascii="Arial" w:hAnsi="Arial" w:eastAsia="宋体" w:cs="Arial"/>
                <w:color w:val="auto"/>
                <w:sz w:val="20"/>
                <w:szCs w:val="20"/>
                <w:lang w:val="en-US" w:eastAsia="zh-CN"/>
              </w:rPr>
              <w:t>RAN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restart"/>
            <w:vAlign w:val="center"/>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r>
              <w:rPr>
                <w:rFonts w:hint="default" w:ascii="Arial" w:hAnsi="Arial" w:cs="Arial"/>
                <w:b/>
                <w:sz w:val="20"/>
                <w:szCs w:val="20"/>
              </w:rPr>
              <w:t>Rapporteur</w:t>
            </w: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Xiaodong Shen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cs="Arial"/>
                <w:sz w:val="20"/>
                <w:szCs w:val="20"/>
                <w:lang w:eastAsia="ja-JP"/>
              </w:rPr>
            </w:pPr>
            <w:r>
              <w:rPr>
                <w:rFonts w:hint="eastAsia" w:ascii="Arial" w:hAnsi="Arial" w:cs="Arial"/>
                <w:sz w:val="20"/>
                <w:szCs w:val="20"/>
                <w:lang w:eastAsia="ja-JP"/>
              </w:rPr>
              <w:t>vivo Communication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5" w:type="dxa"/>
            <w:vMerge w:val="continue"/>
          </w:tcPr>
          <w:p>
            <w:pPr>
              <w:keepNext w:val="0"/>
              <w:keepLines w:val="0"/>
              <w:widowControl/>
              <w:suppressLineNumbers w:val="0"/>
              <w:tabs>
                <w:tab w:val="left" w:pos="567"/>
              </w:tabs>
              <w:spacing w:before="0" w:beforeAutospacing="0" w:afterAutospacing="0"/>
              <w:ind w:left="0" w:right="0"/>
              <w:rPr>
                <w:rFonts w:hint="default" w:ascii="Arial" w:hAnsi="Arial" w:cs="Arial"/>
                <w:b/>
                <w:sz w:val="20"/>
                <w:szCs w:val="20"/>
              </w:rPr>
            </w:pPr>
          </w:p>
        </w:tc>
        <w:tc>
          <w:tcPr>
            <w:tcW w:w="1336" w:type="dxa"/>
          </w:tcPr>
          <w:p>
            <w:pPr>
              <w:keepNext w:val="0"/>
              <w:keepLines w:val="0"/>
              <w:widowControl/>
              <w:suppressLineNumbers w:val="0"/>
              <w:tabs>
                <w:tab w:val="left" w:pos="567"/>
              </w:tabs>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val="0"/>
              <w:keepLines w:val="0"/>
              <w:widowControl/>
              <w:suppressLineNumbers w:val="0"/>
              <w:tabs>
                <w:tab w:val="left" w:pos="567"/>
              </w:tabs>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shenxiaodong@vivo.com</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85" w:type="dxa"/>
            <w:shd w:val="clear" w:color="auto" w:fill="E0E0E0"/>
          </w:tcPr>
          <w:p>
            <w:pPr>
              <w:pStyle w:val="66"/>
              <w:widowControl/>
              <w:suppressLineNumbers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widowControl/>
              <w:suppressLineNumbers w:val="0"/>
              <w:spacing w:before="0" w:beforeAutospacing="0" w:afterAutospacing="0"/>
              <w:ind w:left="0" w:right="0"/>
              <w:jc w:val="center"/>
              <w:rPr>
                <w:rFonts w:hint="default"/>
                <w:color w:val="FF0000"/>
                <w:szCs w:val="20"/>
                <w:lang w:eastAsia="ja-JP"/>
              </w:rPr>
            </w:pPr>
            <w:r>
              <w:rPr>
                <w:rFonts w:hint="default"/>
                <w:color w:val="auto"/>
                <w:szCs w:val="2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rPr>
          <w:lang w:eastAsia="ja-JP"/>
        </w:rPr>
      </w:pPr>
      <w:r>
        <w:rPr>
          <w:lang w:eastAsia="ja-JP"/>
        </w:rPr>
        <w:t>The following opens need to be addressed:</w:t>
      </w:r>
    </w:p>
    <w:p>
      <w:pPr>
        <w:numPr>
          <w:ilvl w:val="0"/>
          <w:numId w:val="5"/>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pPr>
        <w:numPr>
          <w:ilvl w:val="1"/>
          <w:numId w:val="5"/>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pPr>
        <w:numPr>
          <w:ilvl w:val="2"/>
          <w:numId w:val="5"/>
        </w:numPr>
        <w:ind w:right="-99"/>
        <w:rPr>
          <w:lang w:val="en-US" w:eastAsia="ja-JP"/>
        </w:rPr>
      </w:pPr>
      <w:r>
        <w:rPr>
          <w:lang w:eastAsia="ja-JP"/>
        </w:rPr>
        <w:t>Other use cases are not precluded</w:t>
      </w:r>
    </w:p>
    <w:p>
      <w:pPr>
        <w:numPr>
          <w:ilvl w:val="0"/>
          <w:numId w:val="5"/>
        </w:numPr>
        <w:ind w:right="-99"/>
        <w:rPr>
          <w:lang w:val="en-US" w:eastAsia="ja-JP"/>
        </w:rPr>
      </w:pPr>
      <w:r>
        <w:rPr>
          <w:rFonts w:hint="eastAsia"/>
          <w:lang w:val="en-US" w:eastAsia="ja-JP"/>
        </w:rPr>
        <w:t xml:space="preserve">Study and evaluate low-power wake-up receiver architectures [RAN1, RAN4] </w:t>
      </w:r>
    </w:p>
    <w:p>
      <w:pPr>
        <w:numPr>
          <w:ilvl w:val="0"/>
          <w:numId w:val="5"/>
        </w:numPr>
        <w:ind w:right="-99"/>
        <w:rPr>
          <w:lang w:val="en-US" w:eastAsia="ja-JP"/>
        </w:rPr>
      </w:pPr>
      <w:r>
        <w:rPr>
          <w:rFonts w:hint="eastAsia"/>
          <w:lang w:val="en-US" w:eastAsia="ja-JP"/>
        </w:rPr>
        <w:t xml:space="preserve">Study and evaluate wake-up signal designs to support wake-up receivers [RAN1, RAN4] </w:t>
      </w:r>
    </w:p>
    <w:p>
      <w:pPr>
        <w:numPr>
          <w:ilvl w:val="0"/>
          <w:numId w:val="5"/>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pPr>
        <w:numPr>
          <w:ilvl w:val="0"/>
          <w:numId w:val="5"/>
        </w:numPr>
        <w:ind w:right="-99"/>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pPr>
        <w:numPr>
          <w:ilvl w:val="1"/>
          <w:numId w:val="5"/>
        </w:numPr>
        <w:ind w:right="-99"/>
        <w:rPr>
          <w:lang w:eastAsia="ja-JP"/>
        </w:rPr>
      </w:pPr>
      <w:r>
        <w:rPr>
          <w:rFonts w:eastAsiaTheme="minorEastAsia"/>
          <w:lang w:val="en-US" w:eastAsia="zh-CN"/>
        </w:rPr>
        <w:t xml:space="preserve">Note: The need for RAN2 evaluation will be triggered by RAN1 when necessary. </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rPr>
          <w:lang w:eastAsia="ja-JP"/>
        </w:rPr>
      </w:pPr>
      <w:r>
        <w:rPr>
          <w:lang w:eastAsia="ja-JP"/>
        </w:rPr>
        <w:t>The following opens need to be addressed:</w:t>
      </w:r>
    </w:p>
    <w:p>
      <w:pPr>
        <w:numPr>
          <w:ilvl w:val="0"/>
          <w:numId w:val="5"/>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lang w:eastAsia="ja-JP"/>
        </w:rPr>
      </w:pPr>
      <w:r>
        <w:rPr>
          <w:lang w:eastAsia="ja-JP"/>
        </w:rPr>
        <w:t>2.4.2</w:t>
      </w:r>
      <w:r>
        <w:rPr>
          <w:lang w:eastAsia="ja-JP"/>
        </w:rPr>
        <w:tab/>
      </w:r>
      <w:r>
        <w:rPr>
          <w:lang w:eastAsia="ja-JP"/>
        </w:rPr>
        <w:t>Remaining Open issues</w:t>
      </w:r>
    </w:p>
    <w:p>
      <w:pPr>
        <w:rPr>
          <w:lang w:eastAsia="ja-JP"/>
        </w:rPr>
      </w:pPr>
      <w:r>
        <w:rPr>
          <w:lang w:eastAsia="ja-JP"/>
        </w:rPr>
        <w:t>The following opens need to be addressed:</w:t>
      </w:r>
    </w:p>
    <w:p>
      <w:pPr>
        <w:numPr>
          <w:ilvl w:val="0"/>
          <w:numId w:val="5"/>
        </w:numPr>
        <w:ind w:right="-99"/>
        <w:rPr>
          <w:lang w:val="en-US" w:eastAsia="ja-JP"/>
        </w:rPr>
      </w:pPr>
      <w:r>
        <w:rPr>
          <w:rFonts w:hint="eastAsia"/>
          <w:lang w:val="en-US" w:eastAsia="ja-JP"/>
        </w:rPr>
        <w:t xml:space="preserve">Study and evaluate low-power wake-up receiver architectures [RAN1, RAN4] </w:t>
      </w:r>
    </w:p>
    <w:p>
      <w:pPr>
        <w:numPr>
          <w:ilvl w:val="0"/>
          <w:numId w:val="5"/>
        </w:numPr>
        <w:ind w:right="-99"/>
        <w:rPr>
          <w:lang w:eastAsia="ja-JP"/>
        </w:rPr>
      </w:pPr>
      <w:r>
        <w:rPr>
          <w:rFonts w:hint="eastAsia"/>
          <w:lang w:val="en-US" w:eastAsia="ja-JP"/>
        </w:rPr>
        <w:t xml:space="preserve">Study and evaluate wake-up signal designs to support wake-up receivers [RAN1, RAN4] </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21CA03A6"/>
    <w:rsid w:val="47070BA3"/>
    <w:rsid w:val="4C492386"/>
    <w:rsid w:val="5E0D5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729</Words>
  <Characters>4157</Characters>
  <Lines>34</Lines>
  <Paragraphs>9</Paragraphs>
  <TotalTime>0</TotalTime>
  <ScaleCrop>false</ScaleCrop>
  <LinksUpToDate>false</LinksUpToDate>
  <CharactersWithSpaces>4877</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sh晓冬(xiaodong)</cp:lastModifiedBy>
  <dcterms:modified xsi:type="dcterms:W3CDTF">2022-03-10T14:52:34Z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